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5E5285">
        <w:rPr>
          <w:sz w:val="24"/>
          <w:szCs w:val="24"/>
        </w:rPr>
        <w:t>5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E5285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5E5285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E5285" w:rsidRPr="0047077E" w:rsidTr="00DB7B0D">
        <w:trPr>
          <w:trHeight w:val="187"/>
        </w:trPr>
        <w:tc>
          <w:tcPr>
            <w:tcW w:w="2268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5E5285" w:rsidRPr="0047077E" w:rsidTr="00DB7B0D">
        <w:trPr>
          <w:trHeight w:val="199"/>
        </w:trPr>
        <w:tc>
          <w:tcPr>
            <w:tcW w:w="2268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5E5285" w:rsidRPr="0047077E" w:rsidTr="00DB7B0D">
        <w:trPr>
          <w:trHeight w:val="199"/>
        </w:trPr>
        <w:tc>
          <w:tcPr>
            <w:tcW w:w="2268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12</w:t>
            </w:r>
          </w:p>
        </w:tc>
        <w:tc>
          <w:tcPr>
            <w:tcW w:w="2126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5E5285" w:rsidRDefault="00891A06" w:rsidP="000765DC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E5285" w:rsidRPr="0047077E" w:rsidTr="00DB7B0D">
        <w:trPr>
          <w:trHeight w:val="199"/>
        </w:trPr>
        <w:tc>
          <w:tcPr>
            <w:tcW w:w="2268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5E5285" w:rsidRPr="00EF70C2" w:rsidRDefault="00891A06" w:rsidP="007C4911">
            <w:pPr>
              <w:pStyle w:val="NormalWeb"/>
              <w:jc w:val="center"/>
              <w:textAlignment w:val="top"/>
            </w:pPr>
            <w:r>
              <w:t>10</w:t>
            </w:r>
          </w:p>
        </w:tc>
        <w:tc>
          <w:tcPr>
            <w:tcW w:w="2126" w:type="dxa"/>
          </w:tcPr>
          <w:p w:rsidR="005E5285" w:rsidRPr="0047077E" w:rsidRDefault="005E5285" w:rsidP="0090095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5E5285" w:rsidRPr="00EF70C2" w:rsidRDefault="00891A06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5E5285" w:rsidRPr="0047077E" w:rsidTr="00DB7B0D">
        <w:trPr>
          <w:trHeight w:val="248"/>
        </w:trPr>
        <w:tc>
          <w:tcPr>
            <w:tcW w:w="2268" w:type="dxa"/>
          </w:tcPr>
          <w:p w:rsidR="005E5285" w:rsidRDefault="005E5285" w:rsidP="0090095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5E5285" w:rsidRDefault="005E5285" w:rsidP="0090095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E5285" w:rsidRPr="0047077E" w:rsidTr="00DB7B0D">
        <w:trPr>
          <w:trHeight w:val="248"/>
        </w:trPr>
        <w:tc>
          <w:tcPr>
            <w:tcW w:w="2268" w:type="dxa"/>
          </w:tcPr>
          <w:p w:rsidR="005E5285" w:rsidRDefault="005E5285" w:rsidP="0090095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5E5285" w:rsidRDefault="005E5285" w:rsidP="0090095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5E5285" w:rsidRDefault="00891A06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</w:tbl>
    <w:p w:rsidR="00BA2A7E" w:rsidRDefault="00C05BB3" w:rsidP="00C05BB3">
      <w:pPr>
        <w:ind w:left="360"/>
      </w:pPr>
      <w:r>
        <w:t xml:space="preserve">        </w:t>
      </w:r>
    </w:p>
    <w:p w:rsidR="00173E3C" w:rsidRDefault="00173E3C" w:rsidP="00E84E1C">
      <w:pPr>
        <w:ind w:left="360"/>
        <w:rPr>
          <w:b/>
        </w:rPr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BE61AA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B714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B7145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B7145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555C30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2156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5E0818" w:rsidRDefault="00CE4353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</w:tr>
      <w:tr w:rsidR="00CE4353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CE435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53" w:rsidRPr="00CC55C6" w:rsidRDefault="00CE4353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353" w:rsidRPr="00CC55C6" w:rsidRDefault="00CE435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173E3C" w:rsidRDefault="005B7CA7" w:rsidP="005B7CA7">
      <w:pPr>
        <w:rPr>
          <w:b/>
        </w:rPr>
      </w:pPr>
      <w:r>
        <w:rPr>
          <w:b/>
        </w:rPr>
        <w:t xml:space="preserve">   </w:t>
      </w:r>
    </w:p>
    <w:p w:rsidR="00173E3C" w:rsidRDefault="00173E3C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5E5285">
        <w:rPr>
          <w:b/>
          <w:u w:val="single"/>
        </w:rPr>
        <w:t>12</w:t>
      </w:r>
      <w:proofErr w:type="gramEnd"/>
      <w:r>
        <w:rPr>
          <w:b/>
          <w:u w:val="single"/>
        </w:rPr>
        <w:t xml:space="preserve"> </w:t>
      </w:r>
      <w:r w:rsidR="00A4561D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E5285" w:rsidP="00DB7B0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5E5285" w:rsidP="00A02B0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E5285" w:rsidP="009B2E9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5E5285" w:rsidP="007C3A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E5285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2250" w:type="dxa"/>
          </w:tcPr>
          <w:p w:rsidR="00A433EB" w:rsidRPr="0047077E" w:rsidRDefault="005E5285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5E5285" w:rsidP="007C3AF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A433EB" w:rsidRPr="0047077E" w:rsidRDefault="005E5285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5E5285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A433EB" w:rsidRDefault="005E5285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A4561D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DB7B0D" w:rsidRDefault="005E5285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26, 27</w:t>
      </w:r>
      <w:r w:rsidR="00555C30">
        <w:t>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19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555C30" w:rsidRPr="00BC69A9" w:rsidRDefault="0026205F" w:rsidP="00555C30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5</w:t>
      </w:r>
      <w:r w:rsidR="00555C30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9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 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10, 13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18, 23, 26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120EB4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 xml:space="preserve">: </w:t>
      </w:r>
      <w:r w:rsidR="00BC69A9">
        <w:t>.</w:t>
      </w:r>
      <w:proofErr w:type="gramEnd"/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</w:t>
      </w:r>
      <w:proofErr w:type="gramStart"/>
      <w:r w:rsidR="00E37CAD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73E3C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1, 8</w:t>
      </w:r>
      <w:r w:rsidR="00555C30"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BC69A9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6461A9" w:rsidRDefault="00F41B9A" w:rsidP="007F0195">
      <w:pPr>
        <w:rPr>
          <w:b/>
          <w:u w:val="single"/>
        </w:rPr>
      </w:pPr>
      <w:r>
        <w:rPr>
          <w:b/>
        </w:rPr>
        <w:lastRenderedPageBreak/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A84E3E" w:rsidRDefault="00A84E3E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A84E3E" w:rsidRDefault="00A84E3E" w:rsidP="00E15158">
            <w:pPr>
              <w:rPr>
                <w:sz w:val="20"/>
                <w:szCs w:val="20"/>
              </w:rPr>
            </w:pP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  <w:p w:rsidR="00A84E3E" w:rsidRDefault="00A84E3E" w:rsidP="00E15158">
            <w:pPr>
              <w:rPr>
                <w:sz w:val="20"/>
                <w:szCs w:val="20"/>
              </w:rPr>
            </w:pP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  <w:r w:rsidR="003A7DB8">
        <w:rPr>
          <w:b/>
          <w:u w:val="single"/>
        </w:rPr>
        <w:t xml:space="preserve"> </w:t>
      </w:r>
      <w:r w:rsidR="003A7DB8" w:rsidRPr="003A7DB8">
        <w:rPr>
          <w:b/>
          <w:sz w:val="16"/>
          <w:szCs w:val="16"/>
          <w:u w:val="single"/>
        </w:rPr>
        <w:t>(</w:t>
      </w:r>
      <w:r w:rsidR="005E5285">
        <w:rPr>
          <w:b/>
          <w:sz w:val="16"/>
          <w:szCs w:val="16"/>
          <w:u w:val="single"/>
        </w:rPr>
        <w:t>1</w:t>
      </w:r>
      <w:r w:rsidR="003A7DB8" w:rsidRPr="003A7DB8">
        <w:rPr>
          <w:b/>
          <w:sz w:val="16"/>
          <w:szCs w:val="16"/>
          <w:u w:val="single"/>
        </w:rPr>
        <w:t>)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D27AA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º trimestre 202</w:t>
      </w:r>
      <w:r w:rsidR="00D27AAD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p w:rsidR="003A7DB8" w:rsidRDefault="003A7DB8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3080"/>
        <w:gridCol w:w="2307"/>
      </w:tblGrid>
      <w:tr w:rsidR="003A7DB8" w:rsidTr="003A7DB8">
        <w:tc>
          <w:tcPr>
            <w:tcW w:w="3080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</w:rPr>
            </w:pPr>
            <w:r>
              <w:rPr>
                <w:rStyle w:val="Textoennegrita"/>
              </w:rPr>
              <w:t>Equipo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  <w:sz w:val="16"/>
                <w:szCs w:val="16"/>
              </w:rPr>
            </w:pPr>
            <w:r>
              <w:rPr>
                <w:rStyle w:val="Textoennegrita"/>
              </w:rPr>
              <w:t xml:space="preserve">Importe pendiente de pago </w:t>
            </w:r>
            <w:r>
              <w:rPr>
                <w:rStyle w:val="Textoennegrita"/>
                <w:sz w:val="16"/>
                <w:szCs w:val="16"/>
              </w:rPr>
              <w:t>(1)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8 40</w:t>
            </w:r>
          </w:p>
        </w:tc>
        <w:tc>
          <w:tcPr>
            <w:tcW w:w="2307" w:type="dxa"/>
          </w:tcPr>
          <w:p w:rsidR="003A7DB8" w:rsidRPr="003A7DB8" w:rsidRDefault="00AF1B9D" w:rsidP="00AF1B9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64</w:t>
            </w:r>
            <w:r w:rsidR="005E5285">
              <w:rPr>
                <w:b/>
                <w:color w:val="000000"/>
                <w:shd w:val="clear" w:color="auto" w:fill="FFFFFF"/>
              </w:rPr>
              <w:t>,08</w:t>
            </w:r>
            <w:r w:rsidR="003A7DB8"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Zabala</w:t>
            </w:r>
          </w:p>
        </w:tc>
        <w:tc>
          <w:tcPr>
            <w:tcW w:w="2307" w:type="dxa"/>
          </w:tcPr>
          <w:p w:rsidR="003A7DB8" w:rsidRPr="003A7DB8" w:rsidRDefault="003A7DB8" w:rsidP="0090095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</w:t>
            </w:r>
            <w:r w:rsidR="0090095D">
              <w:rPr>
                <w:b/>
                <w:color w:val="000000"/>
                <w:shd w:val="clear" w:color="auto" w:fill="FFFFFF"/>
              </w:rPr>
              <w:t>6,66</w:t>
            </w:r>
            <w:r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Cafeteros</w:t>
            </w:r>
          </w:p>
        </w:tc>
        <w:tc>
          <w:tcPr>
            <w:tcW w:w="2307" w:type="dxa"/>
          </w:tcPr>
          <w:p w:rsidR="003A7DB8" w:rsidRPr="003A7DB8" w:rsidRDefault="0090095D" w:rsidP="0090095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81,35</w:t>
            </w:r>
            <w:r w:rsidR="003A7DB8"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Unirea</w:t>
            </w:r>
            <w:proofErr w:type="spellEnd"/>
          </w:p>
        </w:tc>
        <w:tc>
          <w:tcPr>
            <w:tcW w:w="2307" w:type="dxa"/>
          </w:tcPr>
          <w:p w:rsidR="003A7DB8" w:rsidRPr="003A7DB8" w:rsidRDefault="003A7DB8" w:rsidP="0090095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</w:t>
            </w:r>
            <w:r w:rsidR="0090095D">
              <w:rPr>
                <w:b/>
                <w:color w:val="000000"/>
                <w:shd w:val="clear" w:color="auto" w:fill="FFFFFF"/>
              </w:rPr>
              <w:t>8,26</w:t>
            </w:r>
            <w:r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Yepronor</w:t>
            </w:r>
            <w:proofErr w:type="spellEnd"/>
          </w:p>
        </w:tc>
        <w:tc>
          <w:tcPr>
            <w:tcW w:w="2307" w:type="dxa"/>
          </w:tcPr>
          <w:p w:rsidR="003A7DB8" w:rsidRPr="003A7DB8" w:rsidRDefault="005E5285" w:rsidP="0090095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  <w:r w:rsidR="0090095D">
              <w:rPr>
                <w:b/>
                <w:color w:val="000000"/>
                <w:shd w:val="clear" w:color="auto" w:fill="FFFFFF"/>
              </w:rPr>
              <w:t>1,79</w:t>
            </w:r>
            <w:r w:rsidR="003A7DB8"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</w:tbl>
    <w:p w:rsidR="00D27AAD" w:rsidRDefault="00D27AAD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p w:rsidR="00E71825" w:rsidRPr="00E5385F" w:rsidRDefault="00E96556" w:rsidP="00E71825">
      <w:pPr>
        <w:pStyle w:val="Prrafodelista"/>
        <w:numPr>
          <w:ilvl w:val="0"/>
          <w:numId w:val="17"/>
        </w:numPr>
        <w:spacing w:before="100" w:after="100"/>
        <w:jc w:val="both"/>
        <w:rPr>
          <w:color w:val="000000"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7117A9">
        <w:rPr>
          <w:b/>
          <w:u w:val="single"/>
        </w:rPr>
        <w:t>ene</w:t>
      </w:r>
      <w:r>
        <w:rPr>
          <w:b/>
          <w:u w:val="single"/>
        </w:rPr>
        <w:t>-</w:t>
      </w:r>
      <w:r w:rsidR="007117A9">
        <w:rPr>
          <w:b/>
          <w:u w:val="single"/>
        </w:rPr>
        <w:t>mzo.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871ED5" w:rsidRDefault="00871ED5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Se deben pagar antes del 23-4-2024 y son las siguientes:</w:t>
      </w:r>
    </w:p>
    <w:p w:rsidR="006539EA" w:rsidRDefault="006539EA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7640" w:type="dxa"/>
        <w:tblInd w:w="434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560"/>
        <w:gridCol w:w="1540"/>
      </w:tblGrid>
      <w:tr w:rsidR="006539EA" w:rsidRPr="006539EA" w:rsidTr="006539EA">
        <w:trPr>
          <w:trHeight w:val="780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9EA" w:rsidRPr="006539EA" w:rsidRDefault="006539EA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</w:tr>
      <w:tr w:rsidR="006539EA" w:rsidRPr="006539EA" w:rsidTr="006539EA">
        <w:trPr>
          <w:trHeight w:val="308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8 40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195,00 €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16,50 €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45,00 €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211,00 €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34,50 €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34,50 €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Perla del Oeste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19,50 €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12,00 €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31,50 €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</w:t>
            </w:r>
            <w:r w:rsidR="001827F9">
              <w:rPr>
                <w:color w:val="00000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130,50 €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9,00 €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22,50 €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117,00 €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21,00 €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81,00 €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24,00 €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24,00 €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B7" w:rsidRDefault="00866AB7">
      <w:r>
        <w:separator/>
      </w:r>
    </w:p>
  </w:endnote>
  <w:endnote w:type="continuationSeparator" w:id="0">
    <w:p w:rsidR="00866AB7" w:rsidRDefault="0086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5D" w:rsidRDefault="0090095D">
    <w:pPr>
      <w:pStyle w:val="Piedepgina"/>
      <w:pBdr>
        <w:bottom w:val="single" w:sz="12" w:space="1" w:color="auto"/>
      </w:pBdr>
    </w:pPr>
  </w:p>
  <w:p w:rsidR="0090095D" w:rsidRPr="00B62BB2" w:rsidRDefault="0090095D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25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5</w:t>
    </w:r>
    <w:r w:rsidRPr="00B62BB2">
      <w:rPr>
        <w:sz w:val="18"/>
        <w:szCs w:val="18"/>
      </w:rPr>
      <w:t>-</w:t>
    </w:r>
    <w:r>
      <w:rPr>
        <w:sz w:val="18"/>
        <w:szCs w:val="18"/>
      </w:rPr>
      <w:t>5-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="00EF700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EF7002" w:rsidRPr="00B62BB2">
      <w:rPr>
        <w:rStyle w:val="Nmerodepgina"/>
        <w:sz w:val="18"/>
        <w:szCs w:val="18"/>
      </w:rPr>
      <w:fldChar w:fldCharType="separate"/>
    </w:r>
    <w:r w:rsidR="00CE4353">
      <w:rPr>
        <w:rStyle w:val="Nmerodepgina"/>
        <w:noProof/>
        <w:sz w:val="18"/>
        <w:szCs w:val="18"/>
      </w:rPr>
      <w:t>1</w:t>
    </w:r>
    <w:r w:rsidR="00EF7002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EF700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EF7002" w:rsidRPr="00B62BB2">
      <w:rPr>
        <w:rStyle w:val="Nmerodepgina"/>
        <w:sz w:val="18"/>
        <w:szCs w:val="18"/>
      </w:rPr>
      <w:fldChar w:fldCharType="separate"/>
    </w:r>
    <w:r w:rsidR="00CE4353">
      <w:rPr>
        <w:rStyle w:val="Nmerodepgina"/>
        <w:noProof/>
        <w:sz w:val="18"/>
        <w:szCs w:val="18"/>
      </w:rPr>
      <w:t>7</w:t>
    </w:r>
    <w:r w:rsidR="00EF7002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B7" w:rsidRDefault="00866AB7">
      <w:r>
        <w:separator/>
      </w:r>
    </w:p>
  </w:footnote>
  <w:footnote w:type="continuationSeparator" w:id="0">
    <w:p w:rsidR="00866AB7" w:rsidRDefault="00866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617C"/>
    <w:multiLevelType w:val="hybridMultilevel"/>
    <w:tmpl w:val="C928B040"/>
    <w:lvl w:ilvl="0" w:tplc="012EAB9A">
      <w:start w:val="1"/>
      <w:numFmt w:val="decimal"/>
      <w:lvlText w:val="(%1)"/>
      <w:lvlJc w:val="left"/>
      <w:pPr>
        <w:ind w:left="15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07E4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34F"/>
    <w:rsid w:val="00081A7B"/>
    <w:rsid w:val="000826AF"/>
    <w:rsid w:val="00084A84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27D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A5F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4103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3E3C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65C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7EB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254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6AD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DB8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D7A8E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0B1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114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2885"/>
    <w:rsid w:val="00543852"/>
    <w:rsid w:val="005460A1"/>
    <w:rsid w:val="005465E5"/>
    <w:rsid w:val="00547588"/>
    <w:rsid w:val="00550954"/>
    <w:rsid w:val="00552F97"/>
    <w:rsid w:val="005539AF"/>
    <w:rsid w:val="00554A21"/>
    <w:rsid w:val="00555C30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818"/>
    <w:rsid w:val="005E0E8B"/>
    <w:rsid w:val="005E0E8E"/>
    <w:rsid w:val="005E2AA4"/>
    <w:rsid w:val="005E5285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DC3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4A36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2BD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847"/>
    <w:rsid w:val="006A3DA3"/>
    <w:rsid w:val="006A3FCF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AD9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AB7"/>
    <w:rsid w:val="00866CD8"/>
    <w:rsid w:val="008703BF"/>
    <w:rsid w:val="008709B6"/>
    <w:rsid w:val="00871ED5"/>
    <w:rsid w:val="008722FE"/>
    <w:rsid w:val="00874361"/>
    <w:rsid w:val="008753D4"/>
    <w:rsid w:val="00877270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351"/>
    <w:rsid w:val="00891A06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95D"/>
    <w:rsid w:val="00900D59"/>
    <w:rsid w:val="009019A2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555E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5F58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452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27BE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561D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6671"/>
    <w:rsid w:val="00A77348"/>
    <w:rsid w:val="00A77A52"/>
    <w:rsid w:val="00A77F28"/>
    <w:rsid w:val="00A800EC"/>
    <w:rsid w:val="00A82068"/>
    <w:rsid w:val="00A8327E"/>
    <w:rsid w:val="00A839E4"/>
    <w:rsid w:val="00A84005"/>
    <w:rsid w:val="00A84E3E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24CE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1B9D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A7E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9A9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CC4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3FDA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35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27AAD"/>
    <w:rsid w:val="00D322C8"/>
    <w:rsid w:val="00D3274F"/>
    <w:rsid w:val="00D355BF"/>
    <w:rsid w:val="00D35F8A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3EA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8E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145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3F5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4808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85F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1825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1E95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EF7002"/>
    <w:rsid w:val="00EF70C2"/>
    <w:rsid w:val="00F008C9"/>
    <w:rsid w:val="00F031D1"/>
    <w:rsid w:val="00F03279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42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96DE1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3A7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98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A603-A5BE-4951-874D-C8890276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1545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4</cp:revision>
  <cp:lastPrinted>2024-05-05T18:30:00Z</cp:lastPrinted>
  <dcterms:created xsi:type="dcterms:W3CDTF">2024-05-05T18:30:00Z</dcterms:created>
  <dcterms:modified xsi:type="dcterms:W3CDTF">2024-05-06T14:15:00Z</dcterms:modified>
</cp:coreProperties>
</file>